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3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10"/>
        <w:gridCol w:w="7139"/>
      </w:tblGrid>
      <w:tr>
        <w:trPr/>
        <w:tc>
          <w:tcPr>
            <w:tcW w:w="2210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Nazwa</w:t>
            </w:r>
          </w:p>
        </w:tc>
        <w:tc>
          <w:tcPr>
            <w:tcW w:w="7139" w:type="dxa"/>
            <w:tcBorders/>
            <w:shd w:color="auto" w:fill="0D0D0D" w:themeFill="text1" w:themeFillTint="f2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Wymagane minimalne parametry techniczne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Zastosowanie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Komputer przenośny będzie wykorzystywany dla potrzeb obróbki grafiki</w:t>
            </w:r>
            <w:r>
              <w:rPr>
                <w:rFonts w:eastAsia="Calibri" w:cs="Tahoma" w:ascii="Tahoma" w:hAnsi="Tahoma" w:eastAsiaTheme="minorHAnsi"/>
                <w:color w:val="auto"/>
                <w:kern w:val="0"/>
                <w:sz w:val="20"/>
                <w:szCs w:val="20"/>
                <w:lang w:val="pl-PL" w:eastAsia="en-US" w:bidi="ar-SA"/>
              </w:rPr>
              <w:t xml:space="preserve">, </w:t>
            </w:r>
            <w:r>
              <w:rPr>
                <w:rFonts w:cs="Tahoma" w:ascii="Tahoma" w:hAnsi="Tahoma"/>
                <w:sz w:val="20"/>
                <w:szCs w:val="20"/>
                <w:lang w:val="pl-PL"/>
              </w:rPr>
              <w:t xml:space="preserve"> aplikacji edukacyjnych, , dostępu do Internetu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Matryca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both"/>
              <w:outlineLvl w:val="0"/>
              <w:rPr>
                <w:rFonts w:ascii="Tahoma" w:hAnsi="Tahoma" w:cs="Tahoma"/>
                <w:color w:val="00B050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 xml:space="preserve">Komputer przenośny typu notebook z ekranem 15,6" o rozdzielczości FHD (1920 x 1080) z podświetleniem LED matryca </w:t>
            </w:r>
            <w:r>
              <w:rPr>
                <w:rFonts w:eastAsia="Calibri" w:cs="Tahoma" w:ascii="Tahoma" w:hAnsi="Tahoma" w:eastAsiaTheme="minorHAnsi"/>
                <w:color w:val="auto"/>
                <w:kern w:val="0"/>
                <w:sz w:val="20"/>
                <w:szCs w:val="20"/>
                <w:lang w:val="pl-PL" w:eastAsia="en-US" w:bidi="ar-SA"/>
              </w:rPr>
              <w:t xml:space="preserve">typu </w:t>
            </w:r>
            <w:r>
              <w:rPr>
                <w:rFonts w:eastAsia="Calibri" w:cs="Tahoma" w:ascii="Tahoma" w:hAnsi="Tahoma" w:eastAsiaTheme="minorHAnsi"/>
                <w:color w:val="auto"/>
                <w:kern w:val="0"/>
                <w:sz w:val="20"/>
                <w:szCs w:val="20"/>
                <w:lang w:val="pl-PL" w:eastAsia="en-US" w:bidi="ar-SA"/>
              </w:rPr>
              <w:t>IPS,</w:t>
            </w:r>
            <w:r>
              <w:rPr>
                <w:rFonts w:cs="Tahoma" w:ascii="Tahoma" w:hAnsi="Tahoma"/>
                <w:sz w:val="20"/>
                <w:szCs w:val="20"/>
                <w:lang w:val="pl-PL"/>
              </w:rPr>
              <w:t xml:space="preserve"> jasność min. 250 cd/m2, powłoka antyodblaskowa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 xml:space="preserve">Procesor osiągający wynik min. </w:t>
            </w: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21300</w:t>
            </w:r>
            <w:r>
              <w:rPr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 xml:space="preserve"> punktów w teście PassMark CPU Mark według wyników ze strony </w:t>
            </w:r>
            <w:r>
              <w:rPr>
                <w:rStyle w:val="Czeinternetowe"/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>https://www.cpubenchmark.net/cpu_list.php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Style w:val="Czeinternetowe"/>
                <w:rFonts w:cs="Tahoma" w:ascii="Tahoma" w:hAnsi="Tahoma"/>
                <w:color w:val="000000" w:themeColor="text1"/>
                <w:sz w:val="20"/>
                <w:szCs w:val="20"/>
                <w:u w:val="none"/>
                <w:lang w:val="pl-PL"/>
              </w:rPr>
              <w:t>Wynik testu (załączyć do oferty)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16</w:t>
            </w: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 xml:space="preserve"> GB DDR4 możliwość rozbudowy do min 64GB, Szybkość min </w:t>
            </w: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 xml:space="preserve">3000 </w:t>
            </w: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MHz jeden slot wolny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Pamięć masowa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 xml:space="preserve">min. 512 GB SSD NVMe PCI 3.0x4,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00B050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color w:val="00B050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 xml:space="preserve">Karta graficzna – wydajność </w:t>
            </w:r>
          </w:p>
        </w:tc>
        <w:tc>
          <w:tcPr>
            <w:tcW w:w="7139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r>
              <w:rPr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>Wydajność osiągająca wynik min. 2</w:t>
            </w:r>
            <w:r>
              <w:rPr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>7</w:t>
            </w:r>
            <w:r>
              <w:rPr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 xml:space="preserve">00 punktów w teście PassMark </w:t>
            </w:r>
            <w:r>
              <w:rPr>
                <w:rFonts w:eastAsia="Calibri" w:cs="Tahoma" w:ascii="Tahoma" w:hAnsi="Tahoma"/>
                <w:color w:val="000000" w:themeColor="text1"/>
                <w:kern w:val="0"/>
                <w:sz w:val="20"/>
                <w:szCs w:val="20"/>
                <w:lang w:val="pl-PL" w:eastAsia="en-US" w:bidi="ar-SA"/>
              </w:rPr>
              <w:t>Videocard</w:t>
            </w:r>
            <w:r>
              <w:rPr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 xml:space="preserve"> Mark według wyników ze strony </w:t>
            </w:r>
            <w:r>
              <w:rPr>
                <w:rStyle w:val="Czeinternetowe"/>
                <w:rFonts w:cs="Tahoma" w:ascii="Tahoma" w:hAnsi="Tahoma"/>
                <w:color w:val="000000" w:themeColor="text1"/>
                <w:sz w:val="20"/>
                <w:szCs w:val="20"/>
                <w:lang w:val="pl-PL"/>
              </w:rPr>
              <w:t>https://www.videocardbenchmark.net/gpu_list.php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color w:val="FF0000"/>
                <w:sz w:val="20"/>
                <w:szCs w:val="20"/>
                <w:lang w:val="pl-PL"/>
              </w:rPr>
            </w:pPr>
            <w:r>
              <w:rPr>
                <w:rStyle w:val="Czeinternetowe"/>
                <w:rFonts w:cs="Tahoma" w:ascii="Tahoma" w:hAnsi="Tahoma"/>
                <w:color w:val="000000" w:themeColor="text1"/>
                <w:sz w:val="20"/>
                <w:szCs w:val="20"/>
                <w:u w:val="none"/>
                <w:lang w:val="pl-PL"/>
              </w:rPr>
              <w:t>Wynik testu (załączyć do oferty)</w:t>
            </w:r>
          </w:p>
        </w:tc>
      </w:tr>
      <w:tr>
        <w:trPr>
          <w:trHeight w:val="416" w:hRule="atLeast"/>
        </w:trPr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Multimedia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Dwukanałowa karta dźwiękowa zintegrowana z płytą główną, zgodna z High Definition, wbudowane głośniki stereo o średniej mocy min. 2x 2W, cyfrowy mikrofon z funkcją redukcji szumów i poprawy mowy wbudowany w obudowę matrycy.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Kamera internetowa o rozdzielczości min. HD trwale zainstalowana w obudowie matrycy, dioda informująca użytkownika o aktywnej kamerze.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Bateria i zasilanie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 xml:space="preserve">Bateria min. 60 Wh, Zasilacz o mocy </w:t>
            </w: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 xml:space="preserve">min. 85W.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Bateria z funkcją szybkiego ładowania (35% do 20 min, 80% do 1h, 100% do 2h).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Waga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 xml:space="preserve">Waga komputera z baterią  nie większa niż 2 kg 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 xml:space="preserve">Obudowa notebooka wzmocniona, szkielet i zawiasy notebooka wykonany z wzmacnianego metalu. 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Klawiatura</w:t>
            </w:r>
          </w:p>
        </w:tc>
        <w:tc>
          <w:tcPr>
            <w:tcW w:w="7139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 xml:space="preserve">Podświetlana klawiatura 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BIOS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BIOS zgodny ze specyfikacją UEFI, pełna obsługa za pomocą klawiatury i myszy.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BIOS musi umożliwiać przeprowadzenia inwentaryzacji sprzętowej poprzez wyświetlenie informacji o : wersji BIOS, numerze seryjnym i dacie produkcji komputera, wielkości, prędkości i sposobie obsadzenia zainstalowanej pamięci RAM,  typie zainstalowanego procesora, zainstalowanym dysku twardym ( pojemność, model ), MAC adresie wbudowanej w płytę główną karty sieciowej.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Funkcja blokowania/odblokowania portów USB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Możliwość, ustawienia hasła dla administratora oraz użytkownika dla BIOS’u, po podaniu hasła użytkownika możliwość jedynie odczytania informacji, brak możliwości wł/wy funkcji. Hasła silne opatrzone o litery, cyfry i znaki specjalne.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Możliwość przypisania w BIOS numeru nadawanego przez Administratora.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Bezpieczeństwo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System diagnostyczny z graficzny interfejsem dostępny z poziomu BIOS lub menu BOOT’owania umożliwiający użytkownikowi przeprowadzenie wstępnej diagnostyki awarii poprzez przetestowanie: procesora, pamięci RAM, dysku, płyty głównej i wyświetlacza. Pełna funkcjonalność systemu diagnostycznego musi być dostępna również w przypadku braku lub uszkodzenia oraz sformatowania dysku twardego, braku dostępu do sieci LAN i internetu oraz nie może być realizowana przez narzędzia zewnętrzne podłączane do komputera ( np. pamięć USB flash ].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 xml:space="preserve">Dedykowany układ szyfrujący TPM 2.0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Złącze na linkę zabezpieczającą przed kradzieżą.</w:t>
            </w:r>
          </w:p>
        </w:tc>
      </w:tr>
      <w:tr>
        <w:trPr>
          <w:trHeight w:val="338" w:hRule="atLeast"/>
        </w:trPr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Certyfikaty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Certyfikat ISO 9001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Certyfikat ISO 14001 dla producenta sprzętu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Deklaracja zgodności CE (załączyć do oferty)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bookmarkStart w:id="0" w:name="__DdeLink__2460_1279102988"/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Certyfikat Energy Star min. 6.0 lub TCO dla oferowanego modelu.</w:t>
            </w:r>
            <w:bookmarkEnd w:id="0"/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System operacyjny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Zainstalowany system operacyjny na każdym zestawie komputerowym spełniający poniższe wymagania: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Oprogramowanie musi spełniać następujące wymagania poprzez wbudowane mechanizmy, bez użycia dodatkowych aplikacji: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a) interfejsy użytkownika dostępne min. w języku polskim i angielskim;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b) możliwość instalacji wersji 32 bity lub 64 bity;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c)możliwość dokonywania bezpłatnych aktualizacji i poprawek w ramach wersji oprogramowania poprzez internet, mechanizmem udostępnianym przez producenta oprogramowania z możliwością wyboru instalowanych poprawek oraz mechanizmem sprawdzającym, które z poprawek są potrzebne;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d) możliwość dokonywania aktualizacji i poprawek systemu poprzez mechanizm zarządzany przez administratora Zamawiającego;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e) wbudowana zapora internetowa (firewall) dla ochrony połączeń internetowych;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f) zintegrowana z oprogramowaniem konsola do zarządzania ustawieniami zapory i regułami IP v4 i v6;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g) zlokalizowane w języku polskim, co najmniej następujące elementy: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• </w:t>
            </w:r>
            <w:r>
              <w:rPr>
                <w:rFonts w:cs="Tahoma" w:ascii="Tahoma" w:hAnsi="Tahoma"/>
                <w:bCs/>
                <w:sz w:val="20"/>
                <w:szCs w:val="20"/>
              </w:rPr>
              <w:t>menu,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• </w:t>
            </w:r>
            <w:r>
              <w:rPr>
                <w:rFonts w:cs="Tahoma" w:ascii="Tahoma" w:hAnsi="Tahoma"/>
                <w:bCs/>
                <w:sz w:val="20"/>
                <w:szCs w:val="20"/>
              </w:rPr>
              <w:t>odtwarzacz multimediów,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• </w:t>
            </w:r>
            <w:r>
              <w:rPr>
                <w:rFonts w:cs="Tahoma" w:ascii="Tahoma" w:hAnsi="Tahoma"/>
                <w:bCs/>
                <w:sz w:val="20"/>
                <w:szCs w:val="20"/>
              </w:rPr>
              <w:t>pomoc,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• </w:t>
            </w:r>
            <w:r>
              <w:rPr>
                <w:rFonts w:cs="Tahoma" w:ascii="Tahoma" w:hAnsi="Tahoma"/>
                <w:bCs/>
                <w:sz w:val="20"/>
                <w:szCs w:val="20"/>
              </w:rPr>
              <w:t>komunikaty systemowe,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h) graficzne środowisko instalacji i konfiguracji dostępne w języku polskim;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i) wsparcie dla większości powszechnie używanych urządzeń peryferyjnych (drukarek, urządzeń sieciowych, standardów USB, Plug&amp;Play, Wi-Fi);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j) funkcjonalność automatycznej zmiany domyślnej drukarki w zależności od sieci, do której podłączony jest komputer;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k) możliwość zarządzania stacją roboczą poprzez polityki grupowe - przez politykę rozumiany jest zestaw reguł definiujących lub ograniczających funkcjonalność oprogramowania lub aplikacji;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l) możliwość zdalnej, automatycznej instalacji, konfiguracji, administrowania oraz aktualizowania oprogramowania, zgodnie z określonymi uprawnieniami poprzez polityki grupowe;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m) zabezpieczony hasłem hierarchiczny dostęp do oprogramowania, konta i profile użytkowników zarządzane zdalnie;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n) praca systemu w trybie ochrony kont użytkowników;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o) zintegrowany z systemem moduł wyszukiwania informacji (plików różnego typu, tekstów, metadanych) dostępny z kilku poziomów: poziom menu, poziom otwartego okna oprogramowania;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p) system wyszukiwania oparty na konfigurowalnym przez użytkownika module indeksacji zasobów lokalnych;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q) zintegrowany z oprogramowaniem moduł synchronizacji komputera z urządzeniami zewnętrznymi;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r) wbudowany system pomocy w języku polskim;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s) możliwość przystosowania stanowiska dla osób niepełnosprawnych (np. słabo widzących);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t) wsparcie dla IPSEC oparte na politykach - wdrażanie IPSEC oparte na zestawach reguł definiujących ustawienia zarządzanych w sposób centralny;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u) mechanizmy logowania w oparciu o: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• </w:t>
            </w:r>
            <w:r>
              <w:rPr>
                <w:rFonts w:cs="Tahoma" w:ascii="Tahoma" w:hAnsi="Tahoma"/>
                <w:bCs/>
                <w:sz w:val="20"/>
                <w:szCs w:val="20"/>
              </w:rPr>
              <w:t>login i hasło,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• </w:t>
            </w:r>
            <w:r>
              <w:rPr>
                <w:rFonts w:cs="Tahoma" w:ascii="Tahoma" w:hAnsi="Tahoma"/>
                <w:bCs/>
                <w:sz w:val="20"/>
                <w:szCs w:val="20"/>
              </w:rPr>
              <w:t>karty z certyfikatami (smartcard),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• </w:t>
            </w:r>
            <w:r>
              <w:rPr>
                <w:rFonts w:cs="Tahoma" w:ascii="Tahoma" w:hAnsi="Tahoma"/>
                <w:bCs/>
                <w:sz w:val="20"/>
                <w:szCs w:val="20"/>
              </w:rPr>
              <w:t>wirtualne karty (logowanie w oparciu o certyfikat chroniony poprzez moduł TPM);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v) wsparcie dla uwierzytelniania na bazie Kerberos v.5;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w) wsparcie do uwierzytelnienia urządzenia na bazie certyfikatu;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x) wsparcie wbudowanej zapory ogniowej dla Internet Key Exchange v. 2 (IKEv2) dla warstwy transportowej IPsec;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y) wbudowane narzędzia służące do administracji, do wykonywania kopii zapasowych polityk i ich odtwarzania oraz generowania raportów z ustawień polityk;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z) wsparcie dla środowisk Java i .NET Framework 4.x - możliwość uruchomienia aplikacji działających we wskazanych środowiskach;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aa) wsparcie dla JScript;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bb) zdalna pomoc i współdzielenie aplikacji - możliwość zdalnego przejęcia sesji zalogowanego użytkownika celem rozwiązania problemu z komputerem;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cc) zarządzanie kontami użytkowników sieci oraz urządzeniami sieciowymi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tj. drukarki, modemy, woluminy dyskowe, usługi katalogowe;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dd) możliwość przywracania obrazu plików systemowych do uprzednio zapisanej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postaci.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 xml:space="preserve">Licencja musi być udzielona na czas nieokreślony. Klucz licencyjny oprogramowania musi być zapisany trwale w BIOS i umożliwiać instalację systemu operacyjnego na podstawie dołączonego nośnika bezpośrednio z wbudowanego napędu lub zdalnie bez potrzeby ręcznego wpisywania klucza licencyjnego. Zainstalowany system jak i również przy reinstalacji nie może wymagać aktywacji klucza licencyjnego za pośrednictwem telefonu i internetu. 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System operacyjny musi posiadać wszelkie dokumenty potwierdzające jego legalność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Cs/>
                <w:sz w:val="20"/>
                <w:szCs w:val="20"/>
              </w:rPr>
              <w:t>Zamawiający  wymaga  fabrycznie  nowego  systemu  operacyjnego,  nieużywanego oraz nieaktywowanego nigdy wcześniej na innym urządzeniu.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Wymagania dodatkowe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 xml:space="preserve">Wbudowane porty i złącza: HDMI, RJ-45 (10/100/1000), min. min. 2 port USB 3.2, czytnik kart microSD, współdzielone złącze słuchawkowe stereo i złącze mikrofonowe, złącze zasilania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Zintegrowana w postaci wewnętrznego modułu mini-PCI Express karta sieci WLAN 802.11AC</w:t>
            </w:r>
            <w:r>
              <w:rPr>
                <w:rFonts w:cs="Tahoma" w:ascii="Tahoma" w:hAnsi="Tahoma"/>
                <w:color w:val="00B050"/>
                <w:sz w:val="20"/>
                <w:szCs w:val="20"/>
                <w:lang w:val="pl-PL"/>
              </w:rPr>
              <w:t>,</w:t>
            </w:r>
            <w:r>
              <w:rPr>
                <w:rFonts w:cs="Tahoma" w:ascii="Tahoma" w:hAnsi="Tahoma"/>
                <w:sz w:val="20"/>
                <w:szCs w:val="20"/>
                <w:lang w:val="pl-PL"/>
              </w:rPr>
              <w:t xml:space="preserve"> moduł bluetooth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Klawiatura (układ US -QWERTY) z wydzieloną klawiaturą numeryczną, t</w:t>
            </w:r>
            <w:r>
              <w:rPr>
                <w:rFonts w:cs="Tahoma" w:ascii="Tahoma" w:hAnsi="Tahoma"/>
                <w:sz w:val="20"/>
                <w:szCs w:val="20"/>
                <w:lang w:val="pl-PL"/>
              </w:rPr>
              <w:t>ouchpad z strefą przewijania w pionie, poziomie wraz z obsługą gestów.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Złącza</w:t>
            </w:r>
          </w:p>
        </w:tc>
        <w:tc>
          <w:tcPr>
            <w:tcW w:w="7139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 xml:space="preserve">Złącze Thunderbold , </w:t>
            </w:r>
            <w:r>
              <w:rPr/>
              <w:t xml:space="preserve">USB-C 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 xml:space="preserve">Czytnik linii papilarnych </w:t>
            </w:r>
          </w:p>
        </w:tc>
        <w:tc>
          <w:tcPr>
            <w:tcW w:w="7139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>TAK</w:t>
            </w:r>
          </w:p>
        </w:tc>
      </w:tr>
      <w:tr>
        <w:trPr/>
        <w:tc>
          <w:tcPr>
            <w:tcW w:w="2210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Komunikacja bezprzewodowa</w:t>
            </w:r>
          </w:p>
        </w:tc>
        <w:tc>
          <w:tcPr>
            <w:tcW w:w="7139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sz w:val="20"/>
                <w:szCs w:val="20"/>
                <w:lang w:val="pl-PL"/>
              </w:rPr>
              <w:t xml:space="preserve">802.11a/b/g/n/ac/ax, Bluetooth 5.1 </w:t>
            </w:r>
          </w:p>
        </w:tc>
      </w:tr>
      <w:tr>
        <w:trPr/>
        <w:tc>
          <w:tcPr>
            <w:tcW w:w="2210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Warunki gwarancji</w:t>
            </w:r>
          </w:p>
        </w:tc>
        <w:tc>
          <w:tcPr>
            <w:tcW w:w="7139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3</w:t>
            </w: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-letnia gwarancja producenta świadczona na miejscu u klienta. Czas reakcji serwisu - do końca następnego dnia roboczego. Dedykowany portal producenta do zgłaszania awarii lub usterek, możliwość samodzielnego zamawiania zamiennych komponentów oraz sprawdzenie okresu gwarancji, fabrycznej konfiguracji.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bCs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Firma serwisująca musi posiadać ISO 9001: 2000 na świadczenie usług serwisowych oraz posiadać autoryzacje producenta komputera – dokumenty potwierdzające załączyć do oferty.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cs="Tahoma" w:ascii="Tahoma" w:hAnsi="Tahoma"/>
                <w:bCs/>
                <w:sz w:val="20"/>
                <w:szCs w:val="20"/>
                <w:lang w:val="pl-PL"/>
              </w:rPr>
              <w:t>Oświadczenie producenta, że w przypadku nie wywiązywania się z obowiązków gwarancyjnych oferenta lub firmy serwisującej, przejmie na siebie wszelkie zobowiązania związane z serwisem.</w:t>
            </w:r>
          </w:p>
        </w:tc>
      </w:tr>
    </w:tbl>
    <w:p>
      <w:pPr>
        <w:pStyle w:val="Normal"/>
        <w:rPr>
          <w:rFonts w:ascii="Tahoma" w:hAnsi="Tahoma" w:cs="Tahoma"/>
          <w:sz w:val="20"/>
          <w:szCs w:val="20"/>
          <w:lang w:val="pl-PL"/>
        </w:rPr>
      </w:pPr>
      <w:r>
        <w:rPr>
          <w:rFonts w:cs="Tahoma" w:ascii="Tahoma" w:hAnsi="Tahoma"/>
          <w:sz w:val="20"/>
          <w:szCs w:val="20"/>
          <w:lang w:val="pl-PL"/>
        </w:rPr>
      </w:r>
    </w:p>
    <w:p>
      <w:pPr>
        <w:pStyle w:val="Normal"/>
        <w:rPr>
          <w:rFonts w:ascii="Tahoma" w:hAnsi="Tahoma" w:cs="Tahoma"/>
          <w:sz w:val="20"/>
          <w:szCs w:val="20"/>
          <w:lang w:val="pl-PL"/>
        </w:rPr>
      </w:pPr>
      <w:r>
        <w:rPr>
          <w:rFonts w:cs="Tahoma" w:ascii="Tahoma" w:hAnsi="Tahoma"/>
          <w:sz w:val="20"/>
          <w:szCs w:val="20"/>
          <w:lang w:val="pl-PL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Nagwek2">
    <w:name w:val="Heading 2"/>
    <w:basedOn w:val="Normal"/>
    <w:link w:val="Nagwek2Znak"/>
    <w:uiPriority w:val="9"/>
    <w:qFormat/>
    <w:rsid w:val="00e13070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nhideWhenUsed/>
    <w:rsid w:val="007d5a1c"/>
    <w:rPr>
      <w:color w:val="0000FF" w:themeColor="hyperlink"/>
      <w:u w:val="single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e13070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Odwiedzoneczeinternetowe">
    <w:name w:val="Odwiedzone łącze internetowe"/>
    <w:basedOn w:val="DefaultParagraphFont"/>
    <w:uiPriority w:val="99"/>
    <w:semiHidden/>
    <w:unhideWhenUsed/>
    <w:qFormat/>
    <w:rsid w:val="00643260"/>
    <w:rPr>
      <w:color w:val="800080" w:themeColor="followedHyperlink"/>
      <w:u w:val="single"/>
    </w:rPr>
  </w:style>
  <w:style w:type="character" w:styleId="Mocnewyrnione">
    <w:name w:val="Mocne wyróżnione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c6ba7"/>
    <w:pPr>
      <w:spacing w:before="0" w:after="20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373e8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01A09-50D6-4902-B0B6-4DF3C00A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Application>LibreOffice/7.2.0.4$Windows_X86_64 LibreOffice_project/9a9c6381e3f7a62afc1329bd359cc48accb6435b</Application>
  <AppVersion>15.0000</AppVersion>
  <Pages>4</Pages>
  <Words>1144</Words>
  <Characters>7849</Characters>
  <CharactersWithSpaces>8917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2020-05-14T12:44:00Z</dcterms:created>
  <dc:creator>Marcin Raś</dc:creator>
  <dc:description/>
  <dc:language>pl-PL</dc:language>
  <cp:lastModifiedBy/>
  <dcterms:modified xsi:type="dcterms:W3CDTF">2022-01-18T11:05:06Z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lClassification">
    <vt:lpwstr>No Restrictions</vt:lpwstr>
  </property>
  <property fmtid="{D5CDD505-2E9C-101B-9397-08002B2CF9AE}" pid="3" name="DellSubLabels">
    <vt:lpwstr/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MSIP_Label_17cb76b2-10b8-4fe1-93d4-2202842406cd_Application">
    <vt:lpwstr>Microsoft Azure Information Protection</vt:lpwstr>
  </property>
  <property fmtid="{D5CDD505-2E9C-101B-9397-08002B2CF9AE}" pid="7" name="MSIP_Label_17cb76b2-10b8-4fe1-93d4-2202842406cd_Enabled">
    <vt:lpwstr>True</vt:lpwstr>
  </property>
  <property fmtid="{D5CDD505-2E9C-101B-9397-08002B2CF9AE}" pid="8" name="MSIP_Label_17cb76b2-10b8-4fe1-93d4-2202842406cd_Extended_MSFT_Method">
    <vt:lpwstr>Manual</vt:lpwstr>
  </property>
  <property fmtid="{D5CDD505-2E9C-101B-9397-08002B2CF9AE}" pid="9" name="MSIP_Label_17cb76b2-10b8-4fe1-93d4-2202842406cd_Name">
    <vt:lpwstr>External Public</vt:lpwstr>
  </property>
  <property fmtid="{D5CDD505-2E9C-101B-9397-08002B2CF9AE}" pid="10" name="MSIP_Label_17cb76b2-10b8-4fe1-93d4-2202842406cd_Owner">
    <vt:lpwstr>Kazimierz_Szczepanik@Dell.com</vt:lpwstr>
  </property>
  <property fmtid="{D5CDD505-2E9C-101B-9397-08002B2CF9AE}" pid="11" name="MSIP_Label_17cb76b2-10b8-4fe1-93d4-2202842406cd_SetDate">
    <vt:lpwstr>2019-03-20T10:49:43.8355449Z</vt:lpwstr>
  </property>
  <property fmtid="{D5CDD505-2E9C-101B-9397-08002B2CF9AE}" pid="12" name="MSIP_Label_17cb76b2-10b8-4fe1-93d4-2202842406cd_SiteId">
    <vt:lpwstr>945c199a-83a2-4e80-9f8c-5a91be5752dd</vt:lpwstr>
  </property>
  <property fmtid="{D5CDD505-2E9C-101B-9397-08002B2CF9AE}" pid="13" name="ScaleCrop">
    <vt:bool>0</vt:bool>
  </property>
  <property fmtid="{D5CDD505-2E9C-101B-9397-08002B2CF9AE}" pid="14" name="ShareDoc">
    <vt:bool>0</vt:bool>
  </property>
  <property fmtid="{D5CDD505-2E9C-101B-9397-08002B2CF9AE}" pid="15" name="TitusGUID">
    <vt:lpwstr>140cb878-0852-4874-902f-90dccf8d7538</vt:lpwstr>
  </property>
  <property fmtid="{D5CDD505-2E9C-101B-9397-08002B2CF9AE}" pid="16" name="aiplabel">
    <vt:lpwstr>External Public</vt:lpwstr>
  </property>
</Properties>
</file>